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59FC1" w14:textId="77777777" w:rsidR="00412176" w:rsidRDefault="00412176" w:rsidP="00412176">
      <w:pPr>
        <w:pStyle w:val="nadpis10"/>
        <w:jc w:val="center"/>
        <w:rPr>
          <w:color w:val="833C0B" w:themeColor="accent2" w:themeShade="80"/>
        </w:rPr>
      </w:pPr>
    </w:p>
    <w:p w14:paraId="5BCD44D4" w14:textId="77777777" w:rsidR="00412176" w:rsidRDefault="00412176" w:rsidP="00412176">
      <w:pPr>
        <w:pStyle w:val="nadpis10"/>
        <w:jc w:val="center"/>
        <w:rPr>
          <w:color w:val="833C0B" w:themeColor="accent2" w:themeShade="80"/>
        </w:rPr>
      </w:pPr>
    </w:p>
    <w:p w14:paraId="75BC8726" w14:textId="77777777" w:rsidR="00412176" w:rsidRDefault="00412176" w:rsidP="00412176">
      <w:pPr>
        <w:pStyle w:val="nadpis10"/>
        <w:jc w:val="center"/>
        <w:rPr>
          <w:color w:val="833C0B" w:themeColor="accent2" w:themeShade="80"/>
        </w:rPr>
      </w:pPr>
    </w:p>
    <w:p w14:paraId="109E8B5B" w14:textId="77777777" w:rsidR="00412176" w:rsidRDefault="00412176" w:rsidP="00412176">
      <w:pPr>
        <w:pStyle w:val="nadpis10"/>
        <w:jc w:val="center"/>
        <w:rPr>
          <w:color w:val="833C0B" w:themeColor="accent2" w:themeShade="80"/>
        </w:rPr>
      </w:pPr>
    </w:p>
    <w:p w14:paraId="2CD28073" w14:textId="77777777" w:rsidR="00412176" w:rsidRDefault="00412176" w:rsidP="00412176">
      <w:pPr>
        <w:pStyle w:val="nadpis10"/>
        <w:jc w:val="center"/>
        <w:rPr>
          <w:color w:val="833C0B" w:themeColor="accent2" w:themeShade="80"/>
        </w:rPr>
      </w:pPr>
    </w:p>
    <w:p w14:paraId="027E6809" w14:textId="77777777" w:rsidR="00412176" w:rsidRDefault="00412176" w:rsidP="00412176">
      <w:pPr>
        <w:pStyle w:val="nadpis10"/>
        <w:jc w:val="center"/>
        <w:rPr>
          <w:color w:val="833C0B" w:themeColor="accent2" w:themeShade="80"/>
        </w:rPr>
      </w:pPr>
    </w:p>
    <w:p w14:paraId="661EC908" w14:textId="77777777" w:rsidR="00412176" w:rsidRDefault="00412176" w:rsidP="00412176">
      <w:pPr>
        <w:pStyle w:val="nadpis10"/>
        <w:jc w:val="center"/>
        <w:rPr>
          <w:color w:val="833C0B" w:themeColor="accent2" w:themeShade="80"/>
        </w:rPr>
      </w:pPr>
    </w:p>
    <w:p w14:paraId="680C367C" w14:textId="77777777" w:rsidR="00412176" w:rsidRDefault="00412176" w:rsidP="00412176">
      <w:pPr>
        <w:pStyle w:val="nadpis10"/>
        <w:jc w:val="center"/>
        <w:rPr>
          <w:color w:val="833C0B" w:themeColor="accent2" w:themeShade="80"/>
        </w:rPr>
      </w:pPr>
    </w:p>
    <w:p w14:paraId="200EAA61" w14:textId="77777777" w:rsidR="00412176" w:rsidRDefault="00412176" w:rsidP="00412176">
      <w:pPr>
        <w:pStyle w:val="nadpis10"/>
        <w:jc w:val="center"/>
        <w:rPr>
          <w:color w:val="833C0B" w:themeColor="accent2" w:themeShade="80"/>
        </w:rPr>
      </w:pPr>
    </w:p>
    <w:p w14:paraId="5719A033" w14:textId="77777777" w:rsidR="00412176" w:rsidRDefault="00412176" w:rsidP="00412176">
      <w:pPr>
        <w:pStyle w:val="nadpis10"/>
        <w:jc w:val="center"/>
        <w:rPr>
          <w:color w:val="833C0B" w:themeColor="accent2" w:themeShade="80"/>
        </w:rPr>
      </w:pPr>
    </w:p>
    <w:p w14:paraId="2B37458C" w14:textId="77777777" w:rsidR="00412176" w:rsidRDefault="00412176" w:rsidP="00412176">
      <w:pPr>
        <w:pStyle w:val="nadpis10"/>
        <w:jc w:val="center"/>
        <w:rPr>
          <w:color w:val="833C0B" w:themeColor="accent2" w:themeShade="80"/>
        </w:rPr>
      </w:pPr>
    </w:p>
    <w:p w14:paraId="7389EC23" w14:textId="42194D00" w:rsidR="00860352" w:rsidRDefault="00481B34" w:rsidP="00860352">
      <w:pPr>
        <w:pStyle w:val="Nadpis1"/>
        <w:rPr>
          <w:color w:val="833C0B" w:themeColor="accent2" w:themeShade="80"/>
        </w:rPr>
      </w:pPr>
      <w:bookmarkStart w:id="0" w:name="_Toc97212139"/>
      <w:r w:rsidRPr="00860352">
        <w:rPr>
          <w:color w:val="833C0B" w:themeColor="accent2" w:themeShade="80"/>
        </w:rPr>
        <w:t>KONCEPCE ROZVOJ</w:t>
      </w:r>
      <w:bookmarkEnd w:id="0"/>
      <w:r w:rsidR="00860352" w:rsidRPr="00860352">
        <w:rPr>
          <w:color w:val="833C0B" w:themeColor="accent2" w:themeShade="80"/>
        </w:rPr>
        <w:t xml:space="preserve"> </w:t>
      </w:r>
    </w:p>
    <w:p w14:paraId="38E2411E" w14:textId="48AD415F" w:rsidR="00860352" w:rsidRDefault="00860352" w:rsidP="00860352">
      <w:pPr>
        <w:pStyle w:val="Obsah1"/>
        <w:tabs>
          <w:tab w:val="right" w:leader="dot" w:pos="9227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eastAsia="cs-CZ"/>
        </w:rPr>
      </w:pPr>
      <w:r>
        <w:br w:type="page"/>
      </w:r>
      <w:r w:rsidRPr="00824DA7">
        <w:rPr>
          <w:rStyle w:val="Hypertextovodkaz"/>
          <w:noProof/>
        </w:rPr>
        <w:lastRenderedPageBreak/>
        <w:fldChar w:fldCharType="begin"/>
      </w:r>
      <w:r w:rsidRPr="00824DA7">
        <w:rPr>
          <w:rStyle w:val="Hypertextovodkaz"/>
          <w:noProof/>
        </w:rPr>
        <w:instrText xml:space="preserve"> </w:instrText>
      </w:r>
      <w:r>
        <w:rPr>
          <w:noProof/>
        </w:rPr>
        <w:instrText>HYPERLINK \l "_Toc97212139"</w:instrText>
      </w:r>
      <w:r w:rsidRPr="00824DA7">
        <w:rPr>
          <w:rStyle w:val="Hypertextovodkaz"/>
          <w:noProof/>
        </w:rPr>
        <w:instrText xml:space="preserve"> </w:instrText>
      </w:r>
      <w:r w:rsidRPr="00824DA7">
        <w:rPr>
          <w:rStyle w:val="Hypertextovodkaz"/>
          <w:noProof/>
        </w:rPr>
      </w:r>
      <w:r w:rsidRPr="00824DA7">
        <w:rPr>
          <w:rStyle w:val="Hypertextovodkaz"/>
          <w:noProof/>
        </w:rPr>
        <w:fldChar w:fldCharType="separate"/>
      </w:r>
      <w:r w:rsidRPr="00824DA7">
        <w:rPr>
          <w:rStyle w:val="Hypertextovodkaz"/>
          <w:noProof/>
        </w:rPr>
        <w:t>KONCEPCE ROZVOJ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_Toc97212139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1</w:t>
      </w:r>
      <w:r>
        <w:rPr>
          <w:noProof/>
          <w:webHidden/>
        </w:rPr>
        <w:fldChar w:fldCharType="end"/>
      </w:r>
      <w:r w:rsidRPr="00824DA7">
        <w:rPr>
          <w:rStyle w:val="Hypertextovodkaz"/>
          <w:noProof/>
        </w:rPr>
        <w:fldChar w:fldCharType="end"/>
      </w:r>
    </w:p>
    <w:p w14:paraId="5AE8DC30" w14:textId="77777777" w:rsidR="00860352" w:rsidRDefault="00860352" w:rsidP="00860352">
      <w:pPr>
        <w:pStyle w:val="Obsah2"/>
        <w:tabs>
          <w:tab w:val="right" w:leader="dot" w:pos="9227"/>
        </w:tabs>
        <w:rPr>
          <w:rFonts w:eastAsiaTheme="minorEastAsia" w:cstheme="minorBidi"/>
          <w:smallCaps w:val="0"/>
          <w:noProof/>
          <w:sz w:val="24"/>
          <w:szCs w:val="24"/>
          <w:lang w:eastAsia="cs-CZ"/>
        </w:rPr>
      </w:pPr>
      <w:hyperlink w:anchor="_Toc97212140" w:history="1">
        <w:r w:rsidRPr="00824DA7">
          <w:rPr>
            <w:rStyle w:val="Hypertextovodkaz"/>
            <w:noProof/>
          </w:rPr>
          <w:t>KAPITOLA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_Toc97212140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253F16F" w14:textId="77777777" w:rsidR="00860352" w:rsidRDefault="00860352" w:rsidP="00860352">
      <w:pPr>
        <w:pStyle w:val="Obsah3"/>
        <w:tabs>
          <w:tab w:val="right" w:leader="dot" w:pos="9227"/>
        </w:tabs>
        <w:rPr>
          <w:rFonts w:eastAsiaTheme="minorEastAsia" w:cstheme="minorBidi"/>
          <w:i w:val="0"/>
          <w:iCs w:val="0"/>
          <w:noProof/>
          <w:sz w:val="24"/>
          <w:szCs w:val="24"/>
          <w:lang w:eastAsia="cs-CZ"/>
        </w:rPr>
      </w:pPr>
      <w:hyperlink w:anchor="_Toc97212141" w:history="1">
        <w:r w:rsidRPr="00824DA7">
          <w:rPr>
            <w:rStyle w:val="Hypertextovodkaz"/>
            <w:noProof/>
          </w:rPr>
          <w:t>1.1. ÚVOD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_Toc97212141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961FA8D" w14:textId="77777777" w:rsidR="00860352" w:rsidRDefault="00860352" w:rsidP="00860352">
      <w:pPr>
        <w:pStyle w:val="Obsah3"/>
        <w:tabs>
          <w:tab w:val="right" w:leader="dot" w:pos="9227"/>
        </w:tabs>
        <w:rPr>
          <w:rFonts w:eastAsiaTheme="minorEastAsia" w:cstheme="minorBidi"/>
          <w:i w:val="0"/>
          <w:iCs w:val="0"/>
          <w:noProof/>
          <w:sz w:val="24"/>
          <w:szCs w:val="24"/>
          <w:lang w:eastAsia="cs-CZ"/>
        </w:rPr>
      </w:pPr>
      <w:hyperlink w:anchor="_Toc97212142" w:history="1">
        <w:r w:rsidRPr="00824DA7">
          <w:rPr>
            <w:rStyle w:val="Hypertextovodkaz"/>
            <w:noProof/>
          </w:rPr>
          <w:t>1.3. VYMEZENÍ CÍLŮ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_Toc97212142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ED5DB27" w14:textId="77777777" w:rsidR="00860352" w:rsidRDefault="00860352" w:rsidP="00860352">
      <w:pPr>
        <w:pStyle w:val="Obsah3"/>
        <w:tabs>
          <w:tab w:val="right" w:leader="dot" w:pos="9227"/>
        </w:tabs>
        <w:rPr>
          <w:rFonts w:eastAsiaTheme="minorEastAsia" w:cstheme="minorBidi"/>
          <w:i w:val="0"/>
          <w:iCs w:val="0"/>
          <w:noProof/>
          <w:sz w:val="24"/>
          <w:szCs w:val="24"/>
          <w:lang w:eastAsia="cs-CZ"/>
        </w:rPr>
      </w:pPr>
      <w:hyperlink w:anchor="_Toc97212143" w:history="1">
        <w:r w:rsidRPr="00824DA7">
          <w:rPr>
            <w:rStyle w:val="Hypertextovodkaz"/>
            <w:noProof/>
          </w:rPr>
          <w:t>KAPITOLA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_Toc97212143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D45182D" w14:textId="77777777" w:rsidR="00860352" w:rsidRDefault="00860352" w:rsidP="00860352">
      <w:pPr>
        <w:pStyle w:val="Obsah3"/>
        <w:tabs>
          <w:tab w:val="right" w:leader="dot" w:pos="9227"/>
        </w:tabs>
        <w:rPr>
          <w:rFonts w:eastAsiaTheme="minorEastAsia" w:cstheme="minorBidi"/>
          <w:i w:val="0"/>
          <w:iCs w:val="0"/>
          <w:noProof/>
          <w:sz w:val="24"/>
          <w:szCs w:val="24"/>
          <w:lang w:eastAsia="cs-CZ"/>
        </w:rPr>
      </w:pPr>
      <w:hyperlink w:anchor="_Toc97212144" w:history="1">
        <w:r w:rsidRPr="00824DA7">
          <w:rPr>
            <w:rStyle w:val="Hypertextovodkaz"/>
            <w:noProof/>
          </w:rPr>
          <w:t>2.1. ZDRAVOTNÍ PÉČE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_Toc97212144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EBD21E2" w14:textId="77777777" w:rsidR="00860352" w:rsidRDefault="00860352" w:rsidP="00860352">
      <w:pPr>
        <w:pStyle w:val="Obsah3"/>
        <w:tabs>
          <w:tab w:val="right" w:leader="dot" w:pos="9227"/>
        </w:tabs>
        <w:rPr>
          <w:rFonts w:eastAsiaTheme="minorEastAsia" w:cstheme="minorBidi"/>
          <w:i w:val="0"/>
          <w:iCs w:val="0"/>
          <w:noProof/>
          <w:sz w:val="24"/>
          <w:szCs w:val="24"/>
          <w:lang w:eastAsia="cs-CZ"/>
        </w:rPr>
      </w:pPr>
      <w:hyperlink w:anchor="_Toc97212145" w:history="1">
        <w:r w:rsidRPr="00824DA7">
          <w:rPr>
            <w:rStyle w:val="Hypertextovodkaz"/>
            <w:noProof/>
          </w:rPr>
          <w:t>2.1.1. FYZIOTERAPIE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_Toc97212145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8C9A309" w14:textId="1AFF67AD" w:rsidR="00860352" w:rsidRDefault="00860352" w:rsidP="00860352">
      <w:pPr>
        <w:pStyle w:val="Obsah3"/>
        <w:tabs>
          <w:tab w:val="right" w:leader="dot" w:pos="9227"/>
        </w:tabs>
        <w:rPr>
          <w:rStyle w:val="Hypertextovodkaz"/>
          <w:noProof/>
        </w:rPr>
      </w:pPr>
      <w:hyperlink w:anchor="_Toc97212146" w:history="1">
        <w:r w:rsidRPr="00824DA7">
          <w:rPr>
            <w:rStyle w:val="Hypertextovodkaz"/>
            <w:noProof/>
          </w:rPr>
          <w:t>2.1.2. ERGOTERAPIE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_Toc97212146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3392ADE" w14:textId="77777777" w:rsidR="00860352" w:rsidRDefault="00860352">
      <w:pPr>
        <w:rPr>
          <w:rStyle w:val="Hypertextovodkaz"/>
          <w:rFonts w:cstheme="minorHAnsi"/>
          <w:i/>
          <w:iCs/>
          <w:noProof/>
          <w:sz w:val="20"/>
          <w:szCs w:val="20"/>
        </w:rPr>
      </w:pPr>
      <w:r>
        <w:rPr>
          <w:rStyle w:val="Hypertextovodkaz"/>
          <w:noProof/>
        </w:rPr>
        <w:br w:type="page"/>
      </w:r>
    </w:p>
    <w:p w14:paraId="5B9C6C9B" w14:textId="77777777" w:rsidR="00860352" w:rsidRDefault="00860352" w:rsidP="00860352">
      <w:pPr>
        <w:pStyle w:val="Obsah3"/>
        <w:tabs>
          <w:tab w:val="right" w:leader="dot" w:pos="9227"/>
        </w:tabs>
        <w:rPr>
          <w:rFonts w:eastAsiaTheme="minorEastAsia" w:cstheme="minorBidi"/>
          <w:i w:val="0"/>
          <w:iCs w:val="0"/>
          <w:noProof/>
          <w:sz w:val="24"/>
          <w:szCs w:val="24"/>
          <w:lang w:eastAsia="cs-CZ"/>
        </w:rPr>
      </w:pPr>
    </w:p>
    <w:p w14:paraId="0F2D3858" w14:textId="5A805221" w:rsidR="00860352" w:rsidRDefault="00860352" w:rsidP="00860352">
      <w:pPr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14:paraId="09206AEB" w14:textId="473674D7" w:rsidR="00412176" w:rsidRPr="00860352" w:rsidRDefault="00860352" w:rsidP="0086035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fldChar w:fldCharType="end"/>
      </w:r>
    </w:p>
    <w:p w14:paraId="53F3EAE4" w14:textId="4F870039" w:rsidR="00481B34" w:rsidRPr="00860352" w:rsidRDefault="00481B34" w:rsidP="00860352"/>
    <w:p w14:paraId="54BCF916" w14:textId="12B65F9B" w:rsidR="00481B34" w:rsidRPr="00860352" w:rsidRDefault="00481B34" w:rsidP="00860352">
      <w:pPr>
        <w:pStyle w:val="Nadpis2"/>
        <w:rPr>
          <w:color w:val="833C0B" w:themeColor="accent2" w:themeShade="80"/>
        </w:rPr>
      </w:pPr>
      <w:bookmarkStart w:id="1" w:name="_Toc97212140"/>
      <w:r w:rsidRPr="00860352">
        <w:rPr>
          <w:color w:val="833C0B" w:themeColor="accent2" w:themeShade="80"/>
        </w:rPr>
        <w:t>KAPITOLA 1</w:t>
      </w:r>
      <w:bookmarkEnd w:id="1"/>
    </w:p>
    <w:p w14:paraId="27AE7B36" w14:textId="048E2B9D" w:rsidR="00481B34" w:rsidRPr="00860352" w:rsidRDefault="00481B34" w:rsidP="00860352"/>
    <w:p w14:paraId="6BB97D63" w14:textId="72EB7FBB" w:rsidR="00481B34" w:rsidRPr="00860352" w:rsidRDefault="00481B34" w:rsidP="00860352">
      <w:pPr>
        <w:pStyle w:val="Nadpis3"/>
        <w:rPr>
          <w:color w:val="833C0B" w:themeColor="accent2" w:themeShade="80"/>
        </w:rPr>
      </w:pPr>
      <w:bookmarkStart w:id="2" w:name="_Toc97212141"/>
      <w:r w:rsidRPr="00860352">
        <w:rPr>
          <w:color w:val="833C0B" w:themeColor="accent2" w:themeShade="80"/>
        </w:rPr>
        <w:t>1.1. ÚVOD</w:t>
      </w:r>
      <w:bookmarkEnd w:id="2"/>
    </w:p>
    <w:p w14:paraId="460C36B3" w14:textId="7C61285E" w:rsidR="00481B34" w:rsidRPr="00481B34" w:rsidRDefault="00481B34" w:rsidP="00481B34">
      <w:pPr>
        <w:pStyle w:val="Prosttext"/>
        <w:rPr>
          <w:rFonts w:ascii="Courier New" w:hAnsi="Courier New" w:cs="Courier New"/>
        </w:rPr>
      </w:pPr>
    </w:p>
    <w:p w14:paraId="5D9B550E" w14:textId="797E7CFF" w:rsidR="00481B34" w:rsidRPr="009F4349" w:rsidRDefault="00412176" w:rsidP="009F4349">
      <w:pPr>
        <w:pStyle w:val="Prosttext"/>
        <w:ind w:firstLine="170"/>
        <w:jc w:val="both"/>
        <w:rPr>
          <w:rFonts w:ascii="Century Schoolbook" w:hAnsi="Century Schoolbook" w:cs="Courier New"/>
          <w:sz w:val="24"/>
          <w:szCs w:val="24"/>
        </w:rPr>
      </w:pPr>
      <w:r>
        <w:rPr>
          <w:noProof/>
          <w:color w:val="ED7D31" w:themeColor="accent2"/>
        </w:rPr>
        <w:drawing>
          <wp:anchor distT="215900" distB="215900" distL="215900" distR="215900" simplePos="0" relativeHeight="251658240" behindDoc="0" locked="0" layoutInCell="1" allowOverlap="1" wp14:anchorId="7CAA1016" wp14:editId="285146D0">
            <wp:simplePos x="0" y="0"/>
            <wp:positionH relativeFrom="column">
              <wp:posOffset>66857</wp:posOffset>
            </wp:positionH>
            <wp:positionV relativeFrom="paragraph">
              <wp:posOffset>291102</wp:posOffset>
            </wp:positionV>
            <wp:extent cx="2815200" cy="1645200"/>
            <wp:effectExtent l="0" t="0" r="4445" b="6350"/>
            <wp:wrapThrough wrapText="bothSides">
              <wp:wrapPolygon edited="0">
                <wp:start x="0" y="0"/>
                <wp:lineTo x="0" y="21517"/>
                <wp:lineTo x="21537" y="21517"/>
                <wp:lineTo x="21537" y="0"/>
                <wp:lineTo x="0" y="0"/>
              </wp:wrapPolygon>
            </wp:wrapThrough>
            <wp:docPr id="1" name="Obrázek 1" descr="Obsah obrázku text, příslušenstv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příslušenství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200" cy="164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B34" w:rsidRPr="009F4349">
        <w:rPr>
          <w:rFonts w:ascii="Century Schoolbook" w:hAnsi="Century Schoolbook" w:cs="Courier New"/>
          <w:sz w:val="24"/>
          <w:szCs w:val="24"/>
        </w:rPr>
        <w:t>Jedličkův ústav a školy pro tělesně postižené hl. města Prahy má dnes již téměř devadesátiletou tradici. Jeho posláním byla, je a nadále zůstane systematická péče o děti a mladé lidi s tělesným postižením. Situace v péči o děti a mládež se specifickými potřebami se ovšem po roce l989 v naší společnosti rychle a výrazně mění:</w:t>
      </w:r>
    </w:p>
    <w:p w14:paraId="2B1AE6BC" w14:textId="43425C61" w:rsidR="00481B34" w:rsidRPr="009F4349" w:rsidRDefault="00481B34" w:rsidP="009F4349">
      <w:pPr>
        <w:pStyle w:val="Prosttext"/>
        <w:ind w:firstLine="170"/>
        <w:jc w:val="both"/>
        <w:rPr>
          <w:rFonts w:ascii="Century Schoolbook" w:hAnsi="Century Schoolbook" w:cs="Courier New"/>
          <w:sz w:val="24"/>
          <w:szCs w:val="24"/>
        </w:rPr>
      </w:pPr>
      <w:r w:rsidRPr="009F4349">
        <w:rPr>
          <w:rFonts w:ascii="Century Schoolbook" w:hAnsi="Century Schoolbook" w:cs="Courier New"/>
          <w:sz w:val="24"/>
          <w:szCs w:val="24"/>
        </w:rPr>
        <w:t xml:space="preserve">- sílí snaha integrovat zdravotně postižené děti a mládež do společnosti a do škol běžného typu mezi zdravou část populace </w:t>
      </w:r>
    </w:p>
    <w:p w14:paraId="42127C4F" w14:textId="05917FA4" w:rsidR="00481B34" w:rsidRPr="009F4349" w:rsidRDefault="00481B34" w:rsidP="009F4349">
      <w:pPr>
        <w:pStyle w:val="Prosttext"/>
        <w:ind w:firstLine="170"/>
        <w:jc w:val="both"/>
        <w:rPr>
          <w:rFonts w:ascii="Century Schoolbook" w:hAnsi="Century Schoolbook" w:cs="Courier New"/>
          <w:sz w:val="24"/>
          <w:szCs w:val="24"/>
        </w:rPr>
      </w:pPr>
      <w:r w:rsidRPr="009F4349">
        <w:rPr>
          <w:rFonts w:ascii="Century Schoolbook" w:hAnsi="Century Schoolbook" w:cs="Courier New"/>
          <w:sz w:val="24"/>
          <w:szCs w:val="24"/>
        </w:rPr>
        <w:t>- rozšiřuje se síť občanských sdružení a organizací, které se spolupodílejí na poskytované péči a doplňují spektrum chybějících sociálních, rehabilitačních a vzdělávacích služeb a úroveň této péče ovlivňují</w:t>
      </w:r>
    </w:p>
    <w:p w14:paraId="5A37BD83" w14:textId="1C31B390" w:rsidR="00481B34" w:rsidRPr="009F4349" w:rsidRDefault="00481B34" w:rsidP="009F4349">
      <w:pPr>
        <w:pStyle w:val="Prosttext"/>
        <w:ind w:firstLine="170"/>
        <w:jc w:val="both"/>
        <w:rPr>
          <w:rFonts w:ascii="Century Schoolbook" w:hAnsi="Century Schoolbook" w:cs="Courier New"/>
          <w:sz w:val="24"/>
          <w:szCs w:val="24"/>
        </w:rPr>
      </w:pPr>
      <w:r w:rsidRPr="009F4349">
        <w:rPr>
          <w:rFonts w:ascii="Century Schoolbook" w:hAnsi="Century Schoolbook" w:cs="Courier New"/>
          <w:sz w:val="24"/>
          <w:szCs w:val="24"/>
        </w:rPr>
        <w:t>- trvale stoupá potřeba kvalitní podpůrné péče při integraci tělesně postižených dětí a mládeže, která nezbytně vyžaduje sledování a hodnocení tohoto procesu.</w:t>
      </w:r>
    </w:p>
    <w:p w14:paraId="276E2A20" w14:textId="5BE04D10" w:rsidR="00481B34" w:rsidRPr="009F4349" w:rsidRDefault="00481B34" w:rsidP="009F4349">
      <w:pPr>
        <w:pStyle w:val="Prosttext"/>
        <w:ind w:firstLine="170"/>
        <w:jc w:val="both"/>
        <w:rPr>
          <w:rFonts w:ascii="Century Schoolbook" w:hAnsi="Century Schoolbook" w:cs="Courier New"/>
          <w:sz w:val="24"/>
          <w:szCs w:val="24"/>
        </w:rPr>
      </w:pPr>
      <w:r w:rsidRPr="009F4349">
        <w:rPr>
          <w:rFonts w:ascii="Century Schoolbook" w:hAnsi="Century Schoolbook" w:cs="Courier New"/>
          <w:sz w:val="24"/>
          <w:szCs w:val="24"/>
        </w:rPr>
        <w:t>V roce 1995 jsme připravili Koncepci rozvoje JÚŠ. První verze byla aktualizovaná v červenci 96 a od srpna téhož roku jsme ji přijali jako vodítko naší každodenní práce. V létě 99 jsme připravili její 2. revizi. V říjnu 2001 jsme ji aktualizovali potřetí.</w:t>
      </w:r>
    </w:p>
    <w:p w14:paraId="4852D7CE" w14:textId="2D64660B" w:rsidR="00481B34" w:rsidRPr="009F4349" w:rsidRDefault="00481B34" w:rsidP="009F4349">
      <w:pPr>
        <w:pStyle w:val="Prosttext"/>
        <w:ind w:firstLine="170"/>
        <w:jc w:val="both"/>
        <w:rPr>
          <w:rFonts w:ascii="Century Schoolbook" w:hAnsi="Century Schoolbook" w:cs="Courier New"/>
          <w:sz w:val="24"/>
          <w:szCs w:val="24"/>
        </w:rPr>
      </w:pPr>
      <w:r w:rsidRPr="009F4349">
        <w:rPr>
          <w:rFonts w:ascii="Century Schoolbook" w:hAnsi="Century Schoolbook" w:cs="Courier New"/>
          <w:sz w:val="24"/>
          <w:szCs w:val="24"/>
        </w:rPr>
        <w:t>Koncepce nepopisuje detailně všechny činnosti, které jsou s funkcí JÚŠ spojeny. Jednotlivé programy vymezují rámcově ty činnosti, jež jsou vytipovány jako hlavní. Činnosti v rámci jednotlivých programů budou rozpracovány podrobněji, některé jsou přílohou této koncepce.</w:t>
      </w:r>
    </w:p>
    <w:p w14:paraId="2D2DCCEF" w14:textId="78D3D9C4" w:rsidR="00481B34" w:rsidRPr="00481B34" w:rsidRDefault="00481B34" w:rsidP="00481B34">
      <w:pPr>
        <w:pStyle w:val="Prosttext"/>
        <w:rPr>
          <w:rFonts w:ascii="Courier New" w:hAnsi="Courier New" w:cs="Courier New"/>
        </w:rPr>
      </w:pPr>
      <w:r w:rsidRPr="00481B34">
        <w:rPr>
          <w:rFonts w:ascii="Courier New" w:hAnsi="Courier New" w:cs="Courier New"/>
        </w:rPr>
        <w:t> </w:t>
      </w:r>
    </w:p>
    <w:p w14:paraId="511BB128" w14:textId="73F6D5C0" w:rsidR="00481B34" w:rsidRPr="00481B34" w:rsidRDefault="00481B34" w:rsidP="009F4349">
      <w:pPr>
        <w:pStyle w:val="nadpis30"/>
        <w:rPr>
          <w:color w:val="833C0B" w:themeColor="accent2" w:themeShade="80"/>
        </w:rPr>
      </w:pPr>
      <w:r w:rsidRPr="00481B34">
        <w:rPr>
          <w:color w:val="833C0B" w:themeColor="accent2" w:themeShade="80"/>
        </w:rPr>
        <w:t>1.2. STRUČNÁ ANALÝZA SOUČASNÉ SITUACE JÚŠ</w:t>
      </w:r>
    </w:p>
    <w:p w14:paraId="2E683E8C" w14:textId="77777777" w:rsidR="00481B34" w:rsidRPr="00481B34" w:rsidRDefault="00481B34" w:rsidP="009F4349">
      <w:pPr>
        <w:pStyle w:val="koncepce"/>
      </w:pPr>
    </w:p>
    <w:p w14:paraId="703453BA" w14:textId="0752EBFF" w:rsidR="00481B34" w:rsidRPr="00481B34" w:rsidRDefault="00481B34" w:rsidP="009F4349">
      <w:pPr>
        <w:pStyle w:val="koncepce"/>
      </w:pPr>
      <w:r w:rsidRPr="00481B34">
        <w:t xml:space="preserve">JÚŠ poskytuje na velmi dobré úrovni výchovně vzdělávací, zdravotní a rehabilitační péči zhruba 185 dětem a mladým lidem od jejich předškolního věku do doby ukončení jejich </w:t>
      </w:r>
      <w:proofErr w:type="spellStart"/>
      <w:r w:rsidRPr="00481B34">
        <w:t>předprofesní</w:t>
      </w:r>
      <w:proofErr w:type="spellEnd"/>
      <w:r w:rsidRPr="00481B34">
        <w:t xml:space="preserve"> přípravy v některém z typů středních škol či učebních oborů. Přibližně 100 dětí využívá internátní formy péče, přičemž v posledních letech přibývá dětí a žáků s kombinovaným postižením (viz příloha).</w:t>
      </w:r>
    </w:p>
    <w:p w14:paraId="227D02BB" w14:textId="729B90AA" w:rsidR="00481B34" w:rsidRPr="00481B34" w:rsidRDefault="00481B34" w:rsidP="009F4349">
      <w:pPr>
        <w:pStyle w:val="koncepce"/>
      </w:pPr>
      <w:r w:rsidRPr="00481B34">
        <w:t xml:space="preserve">Mění se struktura zájemců o studium v JÚŠ. Zájemci o vzdělávání v nižších třídách ZŠ mají výraznější a kombinovaná postižení, jejich počet je již několik let nižší. Řada z nich je v předstihu v péči SPC a lze jim zajistit vzdělávání v běžné škole. Přibývá počet zájemců o studium na středních školách. Všem absolventům středních škol a učebních oborů se </w:t>
      </w:r>
      <w:proofErr w:type="gramStart"/>
      <w:r w:rsidRPr="00481B34">
        <w:t>nedaří</w:t>
      </w:r>
      <w:proofErr w:type="gramEnd"/>
      <w:r w:rsidRPr="00481B34">
        <w:t xml:space="preserve"> najít pracovní uplatnění.</w:t>
      </w:r>
    </w:p>
    <w:p w14:paraId="30DE72A9" w14:textId="421FBD9C" w:rsidR="00481B34" w:rsidRPr="00481B34" w:rsidRDefault="00481B34" w:rsidP="009F4349">
      <w:pPr>
        <w:pStyle w:val="koncepce"/>
      </w:pPr>
      <w:r w:rsidRPr="00481B34">
        <w:t>V JÚŠ pracuje asi 200 zaměstnanců: učitelé, vychovatelé, rehabilitační pracovníci, další zdravotní pracovníci, provozní a administrativní zaměstnanci (viz kap. 9).</w:t>
      </w:r>
    </w:p>
    <w:p w14:paraId="60E1961C" w14:textId="4CC224C2" w:rsidR="00481B34" w:rsidRPr="00481B34" w:rsidRDefault="00412176" w:rsidP="009F4349">
      <w:pPr>
        <w:pStyle w:val="koncepce"/>
      </w:pPr>
      <w:r>
        <w:rPr>
          <w:noProof/>
          <w:color w:val="ED7D31" w:themeColor="accent2"/>
        </w:rPr>
        <w:lastRenderedPageBreak/>
        <w:drawing>
          <wp:anchor distT="215900" distB="215900" distL="215900" distR="215900" simplePos="0" relativeHeight="251659264" behindDoc="0" locked="0" layoutInCell="1" allowOverlap="1" wp14:anchorId="611EAD31" wp14:editId="7F2FB1CE">
            <wp:simplePos x="0" y="0"/>
            <wp:positionH relativeFrom="column">
              <wp:posOffset>3365319</wp:posOffset>
            </wp:positionH>
            <wp:positionV relativeFrom="paragraph">
              <wp:posOffset>140153</wp:posOffset>
            </wp:positionV>
            <wp:extent cx="2401200" cy="3153600"/>
            <wp:effectExtent l="0" t="0" r="0" b="0"/>
            <wp:wrapThrough wrapText="bothSides">
              <wp:wrapPolygon edited="0">
                <wp:start x="0" y="0"/>
                <wp:lineTo x="0" y="21487"/>
                <wp:lineTo x="21480" y="21487"/>
                <wp:lineTo x="21480" y="0"/>
                <wp:lineTo x="0" y="0"/>
              </wp:wrapPolygon>
            </wp:wrapThrough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315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B34" w:rsidRPr="00481B34">
        <w:t>JÚŠ využívá pro svoji činnost 4 větší budovy v katastru Vyšehrad a Nusle. Všechny 4 budovy jsou v podstatě zrekonstruované, 3 z nich jsou účelově uzpůsobené jako školní budova, domov dětí a domov mládeže. V létě 2001 započala výstavba rehabilitačního bazénu – 1. etapa dostavby JÚŠ.</w:t>
      </w:r>
    </w:p>
    <w:p w14:paraId="49488C69" w14:textId="77A9EBA6" w:rsidR="00481B34" w:rsidRPr="00481B34" w:rsidRDefault="00481B34" w:rsidP="009F4349">
      <w:pPr>
        <w:pStyle w:val="koncepce"/>
      </w:pPr>
      <w:r w:rsidRPr="00481B34">
        <w:t>JÚŠ je příspěvková organizace Prahy. Roční rozpočet je tvořen příspěvkem zřizovatele v kapitole 05 a 04, dotací MPSV, zatím symbolickou dotací MŠMT, příspěvky rodičů a studentů (dle Vyhlášky MPSV 82/93 o úhradách v zařízeních sociální péče). Využívání grantových prostředků a příležitostných darů se stává nezbytností k udržení stávající úrovně péče.</w:t>
      </w:r>
    </w:p>
    <w:p w14:paraId="7F3F629F" w14:textId="77777777" w:rsidR="00481B34" w:rsidRPr="00481B34" w:rsidRDefault="00481B34" w:rsidP="009F4349">
      <w:pPr>
        <w:pStyle w:val="koncepce"/>
      </w:pPr>
      <w:r w:rsidRPr="00481B34">
        <w:t>V roce 1990 byla založena Nadace JÚ a od roku 1998 pokračuje ve své činnosti ve smyslu platného zákona o nadacích. Vedle zajištění speciálních kompenzačních pomůcek výrazně podporuje asistenční služby žákům i mladým lidem s TP. Podpořila i několik větších investičních akcí souvisejících s činností JÚŠ.</w:t>
      </w:r>
    </w:p>
    <w:p w14:paraId="3DB75CBB" w14:textId="77777777" w:rsidR="00481B34" w:rsidRPr="00481B34" w:rsidRDefault="00481B34" w:rsidP="009F4349">
      <w:pPr>
        <w:pStyle w:val="koncepce"/>
      </w:pPr>
      <w:r w:rsidRPr="00481B34">
        <w:t>V posledních 5 letech se systematičtěji rozvíjí spolupráce s několika obdobnými zahraničními zařízeními a JÚŠ vstoupil do povědomí řady tuzemských organizací jako solidní partner spolupracující na zlepšení situace mladých lidí s TP i v oblasti osvěty.</w:t>
      </w:r>
    </w:p>
    <w:p w14:paraId="3E6D4C39" w14:textId="77777777" w:rsidR="00481B34" w:rsidRPr="00481B34" w:rsidRDefault="00481B34" w:rsidP="009F4349">
      <w:pPr>
        <w:pStyle w:val="koncepce"/>
      </w:pPr>
      <w:r w:rsidRPr="00481B34">
        <w:t> </w:t>
      </w:r>
    </w:p>
    <w:p w14:paraId="0211FBD4" w14:textId="77777777" w:rsidR="00481B34" w:rsidRPr="00481B34" w:rsidRDefault="00481B34" w:rsidP="00860352">
      <w:pPr>
        <w:pStyle w:val="Nadpis3"/>
        <w:rPr>
          <w:color w:val="833C0B" w:themeColor="accent2" w:themeShade="80"/>
        </w:rPr>
      </w:pPr>
      <w:bookmarkStart w:id="3" w:name="_Toc97212142"/>
      <w:r w:rsidRPr="00481B34">
        <w:rPr>
          <w:color w:val="833C0B" w:themeColor="accent2" w:themeShade="80"/>
        </w:rPr>
        <w:t>1.3. VYMEZENÍ CÍLŮ</w:t>
      </w:r>
      <w:bookmarkEnd w:id="3"/>
    </w:p>
    <w:p w14:paraId="06F6B4AF" w14:textId="77777777" w:rsidR="00481B34" w:rsidRPr="00481B34" w:rsidRDefault="00481B34" w:rsidP="00481B34">
      <w:pPr>
        <w:pStyle w:val="Prosttext"/>
        <w:rPr>
          <w:rFonts w:ascii="Courier New" w:hAnsi="Courier New" w:cs="Courier New"/>
        </w:rPr>
      </w:pPr>
    </w:p>
    <w:p w14:paraId="417E47B0" w14:textId="77777777" w:rsidR="00481B34" w:rsidRPr="00481B34" w:rsidRDefault="00481B34" w:rsidP="009F4349">
      <w:pPr>
        <w:pStyle w:val="koncepce"/>
      </w:pPr>
      <w:r w:rsidRPr="00481B34">
        <w:t>Při stanovení cílů JÚŠ vycházíme z následujících principů:</w:t>
      </w:r>
    </w:p>
    <w:p w14:paraId="2490F88E" w14:textId="77777777" w:rsidR="00481B34" w:rsidRPr="00481B34" w:rsidRDefault="00481B34" w:rsidP="009F4349">
      <w:pPr>
        <w:pStyle w:val="koncepce"/>
      </w:pPr>
      <w:r w:rsidRPr="00481B34">
        <w:t>- Každý člověk je bytost s potřebou duchovních a sociálních kontaktů. Proto je zařízení tohoto typu koncipováno jako maximálně otevřená instituce, podporující kontakty dětí s jejich vrstevníky a okolním světem.</w:t>
      </w:r>
    </w:p>
    <w:p w14:paraId="689C3108" w14:textId="77777777" w:rsidR="00481B34" w:rsidRPr="00481B34" w:rsidRDefault="00481B34" w:rsidP="009F4349">
      <w:pPr>
        <w:pStyle w:val="koncepce"/>
      </w:pPr>
      <w:r w:rsidRPr="00481B34">
        <w:t>- Ideálním prostředím pro výchovu každého dítěte je prostředí vlastní rodiny. Proto je JÚŠ určen především pro děti, u nichž nelze výchovu a vzdělání, které odpovídají jejich vývojovým potřebám, zajistit v přirozeném prostředí rodiny.</w:t>
      </w:r>
    </w:p>
    <w:p w14:paraId="4B11EAC1" w14:textId="77777777" w:rsidR="00481B34" w:rsidRPr="00481B34" w:rsidRDefault="00481B34" w:rsidP="009F4349">
      <w:pPr>
        <w:pStyle w:val="koncepce"/>
      </w:pPr>
      <w:r w:rsidRPr="00481B34">
        <w:t>- Nedílnou součástí činnosti zařízení je odborná a podpůrná pomoc, která je poskytována jednotlivcům i institucím.</w:t>
      </w:r>
    </w:p>
    <w:p w14:paraId="0967C8B5" w14:textId="77777777" w:rsidR="00481B34" w:rsidRPr="00481B34" w:rsidRDefault="00481B34" w:rsidP="009F4349">
      <w:pPr>
        <w:pStyle w:val="koncepce"/>
      </w:pPr>
      <w:r w:rsidRPr="00481B34">
        <w:t>- Péče o děti a mládež s tělesným postižením je komplexní, vyvážená a respektuje jejich osobnost a individuální potřeby.</w:t>
      </w:r>
    </w:p>
    <w:p w14:paraId="6D8B6C04" w14:textId="77777777" w:rsidR="00481B34" w:rsidRPr="00481B34" w:rsidRDefault="00481B34" w:rsidP="009F4349">
      <w:pPr>
        <w:pStyle w:val="koncepce"/>
      </w:pPr>
      <w:r w:rsidRPr="00481B34">
        <w:t>Cílem JÚŠ je připravit mládež s tělesným postižením do života jako samostatné jedince, v co nejvyšší míře integrované do společenského prostředí. K naplnění cílů JÚŠ formulujeme a budeme rozvíjet následující 3 hlavní programy a 3 programy podpůrné:</w:t>
      </w:r>
    </w:p>
    <w:p w14:paraId="18BBD25C" w14:textId="77777777" w:rsidR="00481B34" w:rsidRPr="00481B34" w:rsidRDefault="00481B34" w:rsidP="009F4349">
      <w:pPr>
        <w:pStyle w:val="koncepce"/>
      </w:pPr>
    </w:p>
    <w:p w14:paraId="7881E577" w14:textId="77777777" w:rsidR="00481B34" w:rsidRPr="00481B34" w:rsidRDefault="00481B34" w:rsidP="00860352">
      <w:pPr>
        <w:pStyle w:val="Nadpis3"/>
        <w:rPr>
          <w:color w:val="833C0B" w:themeColor="accent2" w:themeShade="80"/>
        </w:rPr>
      </w:pPr>
      <w:bookmarkStart w:id="4" w:name="_Toc97212143"/>
      <w:r w:rsidRPr="00481B34">
        <w:rPr>
          <w:color w:val="833C0B" w:themeColor="accent2" w:themeShade="80"/>
        </w:rPr>
        <w:t>KAPITOLA 2</w:t>
      </w:r>
      <w:bookmarkEnd w:id="4"/>
    </w:p>
    <w:p w14:paraId="2A4D0277" w14:textId="77777777" w:rsidR="00481B34" w:rsidRPr="00481B34" w:rsidRDefault="00481B34" w:rsidP="00481B34">
      <w:pPr>
        <w:pStyle w:val="Prosttext"/>
        <w:rPr>
          <w:rFonts w:ascii="Courier New" w:hAnsi="Courier New" w:cs="Courier New"/>
        </w:rPr>
      </w:pPr>
    </w:p>
    <w:p w14:paraId="67644900" w14:textId="77777777" w:rsidR="00481B34" w:rsidRPr="00481B34" w:rsidRDefault="00481B34" w:rsidP="009F4349">
      <w:pPr>
        <w:pStyle w:val="koncepce"/>
      </w:pPr>
      <w:r w:rsidRPr="00481B34">
        <w:lastRenderedPageBreak/>
        <w:t xml:space="preserve">Cílem programu je vytvořit v co největší možné míře náhradní rodinné prostředí těm dětem, které jsou v JÚŠ ubytovány celý týden nebo celoročně. Komplexní péče zahrnuje všechny oblasti nutné ke zmírnění následků tělesného postižení a podporuje harmonický rozvoj jejich osobnosti a jejich uplatnění ve společnosti v oblasti, pro niž má dítě vlohy a fyzické možnosti. Do programu I a II a následně do typu školy jsou žáci a studenti zařazováni na základě jednání týmu </w:t>
      </w:r>
      <w:proofErr w:type="gramStart"/>
      <w:r w:rsidRPr="00481B34">
        <w:t>odborníků - přijímací</w:t>
      </w:r>
      <w:proofErr w:type="gramEnd"/>
      <w:r w:rsidRPr="00481B34">
        <w:t xml:space="preserve"> poradny JÚŠ (viz příloha).</w:t>
      </w:r>
    </w:p>
    <w:p w14:paraId="0D516091" w14:textId="77777777" w:rsidR="00481B34" w:rsidRPr="00481B34" w:rsidRDefault="00481B34" w:rsidP="009F4349">
      <w:pPr>
        <w:pStyle w:val="koncepce"/>
      </w:pPr>
      <w:r w:rsidRPr="00481B34">
        <w:t xml:space="preserve">Program se týká skupiny dětí a mládeže ve věkovém rozmezí cca 6-20 let. </w:t>
      </w:r>
      <w:proofErr w:type="gramStart"/>
      <w:r w:rsidRPr="00481B34">
        <w:t>Patří</w:t>
      </w:r>
      <w:proofErr w:type="gramEnd"/>
      <w:r w:rsidRPr="00481B34">
        <w:t xml:space="preserve"> sem i žáci a studenti, kterým JÚŠ poskytuje ubytování a stravování, a jejichž vzdělávání je zajišťováno v běžných školách v Praze. V každé věkové skupině bude kladen důraz na všestranný rozvoj osobnosti vzhledem na individuální specifické potřeby dítěte. Proto je ustanoven u každého dítěte pracovní </w:t>
      </w:r>
      <w:proofErr w:type="gramStart"/>
      <w:r w:rsidRPr="00481B34">
        <w:t>tým - vychovatel</w:t>
      </w:r>
      <w:proofErr w:type="gramEnd"/>
      <w:r w:rsidRPr="00481B34">
        <w:t xml:space="preserve">, učitel, fyzioterapeut, ergoterapeut - odborní pracovníci JÚŠ, kteří s ním bezprostředně pracují. Na pravidelné schůzky týmu je možné, v případě potřeby, přizvat </w:t>
      </w:r>
      <w:proofErr w:type="gramStart"/>
      <w:r w:rsidRPr="00481B34">
        <w:t>dítě - klienta</w:t>
      </w:r>
      <w:proofErr w:type="gramEnd"/>
      <w:r w:rsidRPr="00481B34">
        <w:t xml:space="preserve">, rodiče a popř. další odborné pracovníky JÚŠ (lékaře, psychologa, neurologa, logopeda apod.). </w:t>
      </w:r>
    </w:p>
    <w:p w14:paraId="05F24CCF" w14:textId="77777777" w:rsidR="00481B34" w:rsidRPr="00481B34" w:rsidRDefault="00481B34" w:rsidP="00481B34">
      <w:pPr>
        <w:pStyle w:val="Prosttext"/>
        <w:rPr>
          <w:rFonts w:ascii="Courier New" w:hAnsi="Courier New" w:cs="Courier New"/>
        </w:rPr>
      </w:pPr>
      <w:r w:rsidRPr="00481B34">
        <w:rPr>
          <w:rFonts w:ascii="Courier New" w:hAnsi="Courier New" w:cs="Courier New"/>
        </w:rPr>
        <w:t> </w:t>
      </w:r>
    </w:p>
    <w:p w14:paraId="3B79422B" w14:textId="77777777" w:rsidR="00481B34" w:rsidRPr="00481B34" w:rsidRDefault="00481B34" w:rsidP="009F4349">
      <w:pPr>
        <w:pStyle w:val="koncepce"/>
      </w:pPr>
      <w:r w:rsidRPr="00481B34">
        <w:t>Pracovní týmy:</w:t>
      </w:r>
    </w:p>
    <w:p w14:paraId="35EC4277" w14:textId="77777777" w:rsidR="00481B34" w:rsidRPr="00481B34" w:rsidRDefault="00481B34" w:rsidP="009F4349">
      <w:pPr>
        <w:pStyle w:val="koncepce"/>
      </w:pPr>
      <w:r w:rsidRPr="00481B34">
        <w:t>- zajišťují úzkou spolupráci s rodinou</w:t>
      </w:r>
    </w:p>
    <w:p w14:paraId="43BE96B6" w14:textId="77777777" w:rsidR="00481B34" w:rsidRPr="00481B34" w:rsidRDefault="00481B34" w:rsidP="009F4349">
      <w:pPr>
        <w:pStyle w:val="koncepce"/>
      </w:pPr>
      <w:r w:rsidRPr="00481B34">
        <w:t>- formulují a stanovují individuální program každého dítěte</w:t>
      </w:r>
    </w:p>
    <w:p w14:paraId="01A8A8E6" w14:textId="77777777" w:rsidR="00481B34" w:rsidRPr="00481B34" w:rsidRDefault="00481B34" w:rsidP="009F4349">
      <w:pPr>
        <w:pStyle w:val="koncepce"/>
      </w:pPr>
      <w:r w:rsidRPr="00481B34">
        <w:t>- odpovídají za plnění stanoveného programu</w:t>
      </w:r>
    </w:p>
    <w:p w14:paraId="3E643ECB" w14:textId="77777777" w:rsidR="00481B34" w:rsidRPr="00481B34" w:rsidRDefault="00481B34" w:rsidP="009F4349">
      <w:pPr>
        <w:pStyle w:val="koncepce"/>
      </w:pPr>
      <w:r w:rsidRPr="00481B34">
        <w:t>- podporují mimoškolní činnost dětí a mládeže</w:t>
      </w:r>
    </w:p>
    <w:p w14:paraId="26C9D747" w14:textId="77777777" w:rsidR="00481B34" w:rsidRPr="00481B34" w:rsidRDefault="00481B34" w:rsidP="009F4349">
      <w:pPr>
        <w:pStyle w:val="koncepce"/>
      </w:pPr>
      <w:r w:rsidRPr="00481B34">
        <w:t>- vedou dokumentaci o dítěti (modré desky)</w:t>
      </w:r>
    </w:p>
    <w:p w14:paraId="28548274" w14:textId="77777777" w:rsidR="00481B34" w:rsidRPr="00481B34" w:rsidRDefault="00481B34" w:rsidP="009F4349">
      <w:pPr>
        <w:pStyle w:val="koncepce"/>
      </w:pPr>
      <w:r w:rsidRPr="00481B34">
        <w:t xml:space="preserve">Každý pracovní tým má svého vedoucího. Vedoucí týmu žáků I. programu je vychovatel. Vedoucí koordinuje činnosti kolem žáka, pravidelně svolává schůze týmu, snaží se v rámci svých možností zajistit komunikaci jak v týmu, tak s okolím, archivuje dokumentaci o žácích ve </w:t>
      </w:r>
      <w:proofErr w:type="gramStart"/>
      <w:r w:rsidRPr="00481B34">
        <w:t>složkách - modrých</w:t>
      </w:r>
      <w:proofErr w:type="gramEnd"/>
      <w:r w:rsidRPr="00481B34">
        <w:t xml:space="preserve"> deskách.</w:t>
      </w:r>
    </w:p>
    <w:p w14:paraId="4D1D76CE" w14:textId="77777777" w:rsidR="00481B34" w:rsidRPr="00481B34" w:rsidRDefault="00481B34" w:rsidP="009F4349">
      <w:pPr>
        <w:pStyle w:val="koncepce"/>
      </w:pPr>
      <w:r w:rsidRPr="00481B34">
        <w:t xml:space="preserve">Od roku 1997, respektive 1999 se výrazně zlepšily podmínky pro ubytování a vzdělávání žáků a studentů v JÚŠ. Byla dokončena stavba Domova dětí Na </w:t>
      </w:r>
      <w:proofErr w:type="spellStart"/>
      <w:r w:rsidRPr="00481B34">
        <w:t>Topolce</w:t>
      </w:r>
      <w:proofErr w:type="spellEnd"/>
      <w:r w:rsidRPr="00481B34">
        <w:t xml:space="preserve">, která zajišťuje vysoký </w:t>
      </w:r>
      <w:proofErr w:type="gramStart"/>
      <w:r w:rsidRPr="00481B34">
        <w:t>standart</w:t>
      </w:r>
      <w:proofErr w:type="gramEnd"/>
      <w:r w:rsidRPr="00481B34">
        <w:t xml:space="preserve"> ubytování a současně značné možnosti pro mimoškolní zájmovou a sportovní činnost. V roce 1999 se realizovaly i stavební úpravy Domova mládeže Na Pankráci, které značně zlepšily podmínky bydlení mládeže, ale i pracovní podmínky personálu.</w:t>
      </w:r>
    </w:p>
    <w:p w14:paraId="7E638E6E" w14:textId="77777777" w:rsidR="00481B34" w:rsidRPr="00481B34" w:rsidRDefault="00481B34" w:rsidP="009F4349">
      <w:pPr>
        <w:pStyle w:val="koncepce"/>
      </w:pPr>
      <w:r w:rsidRPr="00481B34">
        <w:t>V roce 1998 byla ukončena rekonstrukce objektu škol JÚŠ, při které byl objekt zmodernizován a zřízeny specializované učebny. Soustředěním všech škol do jedné budovy se zlepšily i podmínky učitelů a profesorů pro vzdělávání žáků a studentů JÚŠ.</w:t>
      </w:r>
    </w:p>
    <w:p w14:paraId="4C5C0ABF" w14:textId="77777777" w:rsidR="00481B34" w:rsidRPr="00481B34" w:rsidRDefault="00481B34" w:rsidP="00481B34">
      <w:pPr>
        <w:pStyle w:val="Prosttext"/>
        <w:rPr>
          <w:rFonts w:ascii="Courier New" w:hAnsi="Courier New" w:cs="Courier New"/>
        </w:rPr>
      </w:pPr>
      <w:r w:rsidRPr="00481B34">
        <w:rPr>
          <w:rFonts w:ascii="Courier New" w:hAnsi="Courier New" w:cs="Courier New"/>
        </w:rPr>
        <w:t> </w:t>
      </w:r>
    </w:p>
    <w:p w14:paraId="021513BD" w14:textId="77777777" w:rsidR="00481B34" w:rsidRPr="00481B34" w:rsidRDefault="00481B34" w:rsidP="00860352">
      <w:pPr>
        <w:pStyle w:val="Nadpis3"/>
        <w:rPr>
          <w:color w:val="833C0B" w:themeColor="accent2" w:themeShade="80"/>
        </w:rPr>
      </w:pPr>
      <w:bookmarkStart w:id="5" w:name="_Toc97212144"/>
      <w:r w:rsidRPr="00481B34">
        <w:rPr>
          <w:color w:val="833C0B" w:themeColor="accent2" w:themeShade="80"/>
        </w:rPr>
        <w:t>2.1. ZDRAVOTNÍ PÉČE</w:t>
      </w:r>
      <w:bookmarkEnd w:id="5"/>
    </w:p>
    <w:p w14:paraId="7DA2DEAC" w14:textId="77777777" w:rsidR="00481B34" w:rsidRPr="00481B34" w:rsidRDefault="00481B34" w:rsidP="00481B34">
      <w:pPr>
        <w:pStyle w:val="Prosttext"/>
        <w:rPr>
          <w:rFonts w:ascii="Courier New" w:hAnsi="Courier New" w:cs="Courier New"/>
        </w:rPr>
      </w:pPr>
    </w:p>
    <w:p w14:paraId="6C456259" w14:textId="23F3F8E0" w:rsidR="00860352" w:rsidRDefault="00481B34" w:rsidP="009F4349">
      <w:pPr>
        <w:pStyle w:val="koncepce"/>
      </w:pPr>
      <w:r w:rsidRPr="00481B34">
        <w:t>U rodičů žáků a studentů zařazených do programu I a II je uplatňován princip svobodné volby všech odborných pracovníků, kteří o žáka či studenta pečují. Zdravotní (preventivní a léčebná) péče je u ubytovaných žáků a studentů poskytována na úrovni komplexních služeb, které jsou zajišťovány lékařem se specializací praktický lékař pro děti a dorost. Speciální odborná zdravotní péče je zajišťována rehabilitačním lékařem a dále konziliárním lékařským týmem v oboru neurologie, rehabilitace, ortopedie (protetika, psychiatrie a stomatologie).</w:t>
      </w:r>
    </w:p>
    <w:p w14:paraId="279EEF45" w14:textId="77777777" w:rsidR="00860352" w:rsidRDefault="00860352">
      <w:pPr>
        <w:rPr>
          <w:rFonts w:ascii="Century Schoolbook" w:hAnsi="Century Schoolbook" w:cs="Courier New"/>
        </w:rPr>
      </w:pPr>
      <w:r>
        <w:br w:type="page"/>
      </w:r>
    </w:p>
    <w:p w14:paraId="619F74AD" w14:textId="3D4BFFBE" w:rsidR="00481B34" w:rsidRPr="00481B34" w:rsidRDefault="00481B34" w:rsidP="009F4349">
      <w:pPr>
        <w:pStyle w:val="koncepce"/>
      </w:pPr>
    </w:p>
    <w:p w14:paraId="3CDAD676" w14:textId="77777777" w:rsidR="00481B34" w:rsidRPr="00481B34" w:rsidRDefault="00481B34" w:rsidP="00481B34">
      <w:pPr>
        <w:pStyle w:val="Prosttext"/>
        <w:rPr>
          <w:rFonts w:ascii="Courier New" w:hAnsi="Courier New" w:cs="Courier New"/>
        </w:rPr>
      </w:pPr>
    </w:p>
    <w:p w14:paraId="32623686" w14:textId="77777777" w:rsidR="00481B34" w:rsidRPr="00481B34" w:rsidRDefault="00481B34" w:rsidP="00860352">
      <w:pPr>
        <w:pStyle w:val="Nadpis3"/>
        <w:rPr>
          <w:color w:val="833C0B" w:themeColor="accent2" w:themeShade="80"/>
        </w:rPr>
      </w:pPr>
      <w:bookmarkStart w:id="6" w:name="_Toc97212145"/>
      <w:r w:rsidRPr="00481B34">
        <w:rPr>
          <w:color w:val="833C0B" w:themeColor="accent2" w:themeShade="80"/>
        </w:rPr>
        <w:t>2.1.1. FYZIOTERAPIE</w:t>
      </w:r>
      <w:bookmarkEnd w:id="6"/>
    </w:p>
    <w:p w14:paraId="7CD27B5B" w14:textId="77777777" w:rsidR="00481B34" w:rsidRPr="00481B34" w:rsidRDefault="00481B34" w:rsidP="00481B34">
      <w:pPr>
        <w:pStyle w:val="Prosttext"/>
        <w:rPr>
          <w:rFonts w:ascii="Courier New" w:hAnsi="Courier New" w:cs="Courier New"/>
        </w:rPr>
      </w:pPr>
    </w:p>
    <w:p w14:paraId="31D3599B" w14:textId="77777777" w:rsidR="00481B34" w:rsidRPr="00481B34" w:rsidRDefault="00481B34" w:rsidP="009F4349">
      <w:pPr>
        <w:pStyle w:val="koncepce"/>
      </w:pPr>
      <w:r w:rsidRPr="00481B34">
        <w:t xml:space="preserve">Fyzioterapie je dětem poskytována s ohledem k rozsahu tělesného postižení včetně vybavení vhodnými ortopedickými pomůckami. Podmínkou kvalitní péče je úzká spolupráce členů pracovního týmu a systematická motivace dítěte, kterým fyzioterapeut předává doporučení a poskytuje pravidelnou instruktáž týkající se rehabilitačních cvičení dítěte. Velká pozornost je věnována péči o žáky na 1. stupni ZŠ. Po stránce odborné a metodické je fyzioterapie řízena rehabilitačním lékařem.    </w:t>
      </w:r>
    </w:p>
    <w:p w14:paraId="1421596A" w14:textId="77777777" w:rsidR="00481B34" w:rsidRPr="00481B34" w:rsidRDefault="00481B34" w:rsidP="00481B34">
      <w:pPr>
        <w:pStyle w:val="Prosttext"/>
        <w:rPr>
          <w:rFonts w:ascii="Courier New" w:hAnsi="Courier New" w:cs="Courier New"/>
        </w:rPr>
      </w:pPr>
      <w:r w:rsidRPr="00481B34">
        <w:rPr>
          <w:rFonts w:ascii="Courier New" w:hAnsi="Courier New" w:cs="Courier New"/>
        </w:rPr>
        <w:t> </w:t>
      </w:r>
    </w:p>
    <w:p w14:paraId="5E7003A2" w14:textId="77777777" w:rsidR="00481B34" w:rsidRPr="00481B34" w:rsidRDefault="00481B34" w:rsidP="00860352">
      <w:pPr>
        <w:pStyle w:val="Nadpis3"/>
        <w:rPr>
          <w:color w:val="833C0B" w:themeColor="accent2" w:themeShade="80"/>
        </w:rPr>
      </w:pPr>
      <w:bookmarkStart w:id="7" w:name="_Toc97212146"/>
      <w:r w:rsidRPr="00481B34">
        <w:rPr>
          <w:color w:val="833C0B" w:themeColor="accent2" w:themeShade="80"/>
        </w:rPr>
        <w:t>2.1.2. ERGOTERAPIE</w:t>
      </w:r>
      <w:bookmarkEnd w:id="7"/>
    </w:p>
    <w:p w14:paraId="0A484CAD" w14:textId="77777777" w:rsidR="00481B34" w:rsidRPr="00481B34" w:rsidRDefault="00481B34" w:rsidP="00481B34">
      <w:pPr>
        <w:pStyle w:val="Prosttext"/>
        <w:rPr>
          <w:rFonts w:ascii="Courier New" w:hAnsi="Courier New" w:cs="Courier New"/>
        </w:rPr>
      </w:pPr>
      <w:r w:rsidRPr="00481B34">
        <w:rPr>
          <w:rFonts w:ascii="Courier New" w:hAnsi="Courier New" w:cs="Courier New"/>
        </w:rPr>
        <w:t> </w:t>
      </w:r>
    </w:p>
    <w:p w14:paraId="12B22EC4" w14:textId="77777777" w:rsidR="00481B34" w:rsidRPr="00481B34" w:rsidRDefault="00481B34" w:rsidP="009F4349">
      <w:pPr>
        <w:pStyle w:val="koncepce"/>
      </w:pPr>
      <w:r w:rsidRPr="00481B34">
        <w:t xml:space="preserve">Ergoterapie jako léčebný obor spadá spolu s fyzioterapií, lékaři a dalšími zdravotnickými odborníky do oddělení léčebné rehabilitace. Léčebná rehabilitace je součástí ucelené rehabilitace neboli komprehenzivní rehabilitace. </w:t>
      </w:r>
    </w:p>
    <w:p w14:paraId="58B8C53B" w14:textId="77777777" w:rsidR="00481B34" w:rsidRPr="00481B34" w:rsidRDefault="00481B34" w:rsidP="009F4349">
      <w:pPr>
        <w:pStyle w:val="koncepce"/>
      </w:pPr>
      <w:r w:rsidRPr="00481B34">
        <w:t xml:space="preserve">Ergoterapeut pracuje v JÚŠ na základě indikace lékaře. Úzce spolupracuje s fyzioterapeutem, popř. rehabilitačním inženýrem, dále pak s vychovatelem, učitelem a dalšími odborníky týmu. Podle vstupního vyšetření a hodnocení provádí specifické ergoterapeutické postupy s jednotlivcem i ve skupině. K tomu využívá vhodně a cíleně zvolené praktické činnosti a aktivity. Pro každé dítě individuálně stanovuje krátkodobý a dlouhodobý plán ergoterapie, který zpětně porovnává a upravuje podle průběhu terapie. Vše probíhá v návaznosti na práci celého týmu. Jednotnost přístupu ke specifickým potřebám dětí zajistí kvalitní přípravu dítěte či studenta pro praktický život v nechráněném prostředí. </w:t>
      </w:r>
    </w:p>
    <w:p w14:paraId="437352D5" w14:textId="77777777" w:rsidR="00481B34" w:rsidRPr="00481B34" w:rsidRDefault="00481B34" w:rsidP="009F4349">
      <w:pPr>
        <w:pStyle w:val="koncepce"/>
      </w:pPr>
      <w:r w:rsidRPr="00481B34">
        <w:t xml:space="preserve">V JÚŠ je ergoterapie zaměřena na aktivní pomoc zdravotně handicapovaným dětem a mládeži, s cílem využít jejich stávající potenciál k tomu, aby byli co nejvíce soběstační, samostatní a nezávislí na okolním prostředí. Také pomáhá aktivně začlenit do společnosti a získat nejvyšší možnou kvalitu života. Základní dělení ergoterapie podle zaměření: </w:t>
      </w:r>
    </w:p>
    <w:p w14:paraId="3A3D8C85" w14:textId="77777777" w:rsidR="00481B34" w:rsidRPr="00481B34" w:rsidRDefault="00481B34" w:rsidP="009F4349">
      <w:pPr>
        <w:pStyle w:val="koncepce"/>
      </w:pPr>
      <w:r w:rsidRPr="00481B34">
        <w:t>- ergoterapie cílená na postiženou oblast</w:t>
      </w:r>
    </w:p>
    <w:p w14:paraId="6644ADAB" w14:textId="77777777" w:rsidR="00481B34" w:rsidRPr="00481B34" w:rsidRDefault="00481B34" w:rsidP="009F4349">
      <w:pPr>
        <w:pStyle w:val="koncepce"/>
      </w:pPr>
      <w:r w:rsidRPr="00481B34">
        <w:t>- ergoterapie soustředěná na výchovu k soběstačnosti</w:t>
      </w:r>
    </w:p>
    <w:p w14:paraId="73C773C7" w14:textId="77777777" w:rsidR="00481B34" w:rsidRPr="00481B34" w:rsidRDefault="00481B34" w:rsidP="009F4349">
      <w:pPr>
        <w:pStyle w:val="koncepce"/>
      </w:pPr>
      <w:r w:rsidRPr="00481B34">
        <w:t>- ergoterapie před pracovním začleněním</w:t>
      </w:r>
    </w:p>
    <w:p w14:paraId="45B18065" w14:textId="77777777" w:rsidR="00481B34" w:rsidRPr="00481B34" w:rsidRDefault="00481B34" w:rsidP="009F4349">
      <w:pPr>
        <w:pStyle w:val="koncepce"/>
      </w:pPr>
      <w:r w:rsidRPr="00481B34">
        <w:t>- ergoterapie k naplnění volného času a zlepšení celkové kondice</w:t>
      </w:r>
    </w:p>
    <w:p w14:paraId="45977A22" w14:textId="77777777" w:rsidR="00481B34" w:rsidRPr="00481B34" w:rsidRDefault="00481B34" w:rsidP="009F4349">
      <w:pPr>
        <w:pStyle w:val="koncepce"/>
      </w:pPr>
      <w:r w:rsidRPr="00481B34">
        <w:t xml:space="preserve">Konkrétní programy ergoterapie v JÚŠ jsou zaměřeny především na nácviky všedních denních činností (ADL – </w:t>
      </w:r>
      <w:proofErr w:type="spellStart"/>
      <w:r w:rsidRPr="00481B34">
        <w:t>Activity</w:t>
      </w:r>
      <w:proofErr w:type="spellEnd"/>
      <w:r w:rsidRPr="00481B34">
        <w:t xml:space="preserve"> </w:t>
      </w:r>
      <w:proofErr w:type="spellStart"/>
      <w:r w:rsidRPr="00481B34">
        <w:t>of</w:t>
      </w:r>
      <w:proofErr w:type="spellEnd"/>
      <w:r w:rsidRPr="00481B34">
        <w:t xml:space="preserve"> </w:t>
      </w:r>
      <w:proofErr w:type="spellStart"/>
      <w:r w:rsidRPr="00481B34">
        <w:t>daily</w:t>
      </w:r>
      <w:proofErr w:type="spellEnd"/>
      <w:r w:rsidRPr="00481B34">
        <w:t xml:space="preserve"> </w:t>
      </w:r>
      <w:proofErr w:type="spellStart"/>
      <w:r w:rsidRPr="00481B34">
        <w:t>living</w:t>
      </w:r>
      <w:proofErr w:type="spellEnd"/>
      <w:r w:rsidRPr="00481B34">
        <w:t>) za účelem zvýšení soběstačnosti. Od školního roku 2000/2001 se činnost ergoterapeutů prolíná se vzdělávacím procesem. K tomu se využívají hodiny pracovního vyučování. Program výchovy k soběstačnosti by se měl postupně rozšířit ze stávajících šesti tříd na všechny třídy základní a zvláštní školy. Pro SŠ je ergoterapie k dispozici konzultačně. Plnoletí studenti mají možnost vyzkoušet si během tří týdnů samostatné bydlení a osobní nezávislost ve cvičném bytě (viz. příloha).</w:t>
      </w:r>
    </w:p>
    <w:p w14:paraId="5F354337" w14:textId="77777777" w:rsidR="00481B34" w:rsidRPr="00481B34" w:rsidRDefault="00481B34" w:rsidP="009F4349">
      <w:pPr>
        <w:pStyle w:val="koncepce"/>
      </w:pPr>
    </w:p>
    <w:p w14:paraId="19607F28" w14:textId="77777777" w:rsidR="00481B34" w:rsidRPr="00481B34" w:rsidRDefault="00481B34" w:rsidP="009F4349">
      <w:pPr>
        <w:pStyle w:val="koncepce"/>
      </w:pPr>
      <w:r w:rsidRPr="00481B34">
        <w:t>Zdroj:</w:t>
      </w:r>
    </w:p>
    <w:p w14:paraId="25FAE3C5" w14:textId="77777777" w:rsidR="00481B34" w:rsidRDefault="00481B34" w:rsidP="009F4349">
      <w:pPr>
        <w:pStyle w:val="koncepce"/>
      </w:pPr>
      <w:r w:rsidRPr="00481B34">
        <w:t xml:space="preserve">Integrace tělesně postižených, bezbariérová škola, léčebná rehabilitace, osobní </w:t>
      </w:r>
      <w:proofErr w:type="gramStart"/>
      <w:r w:rsidRPr="00481B34">
        <w:t>asistence - Jedličkův</w:t>
      </w:r>
      <w:proofErr w:type="gramEnd"/>
      <w:r w:rsidRPr="00481B34">
        <w:t xml:space="preserve"> ústav a školy [online]. 2012 [cit. 2013-01-06]. Dostupné z: http://www.jus.cz/ </w:t>
      </w:r>
    </w:p>
    <w:sectPr w:rsidR="00481B34" w:rsidSect="00040B6E">
      <w:headerReference w:type="default" r:id="rId9"/>
      <w:footerReference w:type="even" r:id="rId10"/>
      <w:footerReference w:type="default" r:id="rId11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FB357" w14:textId="77777777" w:rsidR="00EF46DA" w:rsidRDefault="00EF46DA" w:rsidP="00412176">
      <w:r>
        <w:separator/>
      </w:r>
    </w:p>
  </w:endnote>
  <w:endnote w:type="continuationSeparator" w:id="0">
    <w:p w14:paraId="147BDEA1" w14:textId="77777777" w:rsidR="00EF46DA" w:rsidRDefault="00EF46DA" w:rsidP="0041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274485984"/>
      <w:docPartObj>
        <w:docPartGallery w:val="Page Numbers (Bottom of Page)"/>
        <w:docPartUnique/>
      </w:docPartObj>
    </w:sdtPr>
    <w:sdtContent>
      <w:p w14:paraId="29DFDA8A" w14:textId="3ADC3A1B" w:rsidR="00412176" w:rsidRDefault="00412176" w:rsidP="009F3D6E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E394FC9" w14:textId="77777777" w:rsidR="00412176" w:rsidRDefault="004121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2070232722"/>
      <w:docPartObj>
        <w:docPartGallery w:val="Page Numbers (Bottom of Page)"/>
        <w:docPartUnique/>
      </w:docPartObj>
    </w:sdtPr>
    <w:sdtContent>
      <w:p w14:paraId="7ECFBBBC" w14:textId="19CACF2C" w:rsidR="00412176" w:rsidRDefault="00412176" w:rsidP="00412176">
        <w:pPr>
          <w:pStyle w:val="koncepce"/>
          <w:jc w:val="center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290544FA" w14:textId="77777777" w:rsidR="00412176" w:rsidRDefault="004121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E2B93" w14:textId="77777777" w:rsidR="00EF46DA" w:rsidRDefault="00EF46DA" w:rsidP="00412176">
      <w:r>
        <w:separator/>
      </w:r>
    </w:p>
  </w:footnote>
  <w:footnote w:type="continuationSeparator" w:id="0">
    <w:p w14:paraId="4C38C39F" w14:textId="77777777" w:rsidR="00EF46DA" w:rsidRDefault="00EF46DA" w:rsidP="00412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51110" w14:textId="4C514A8F" w:rsidR="00412176" w:rsidRDefault="00860352" w:rsidP="00412176">
    <w:pPr>
      <w:pStyle w:val="koncepc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A626A4" wp14:editId="6C269430">
              <wp:simplePos x="0" y="0"/>
              <wp:positionH relativeFrom="column">
                <wp:posOffset>-1092019</wp:posOffset>
              </wp:positionH>
              <wp:positionV relativeFrom="paragraph">
                <wp:posOffset>399506</wp:posOffset>
              </wp:positionV>
              <wp:extent cx="8033385" cy="0"/>
              <wp:effectExtent l="0" t="0" r="5715" b="1270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333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4CCAE1" id="Přímá spojnice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6pt,31.45pt" to="546.55pt,3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" strokecolor="#4472c4 [3204]" strokeweight=".5pt">
              <v:stroke joinstyle="miter"/>
            </v:line>
          </w:pict>
        </mc:Fallback>
      </mc:AlternateContent>
    </w:r>
    <w:r w:rsidR="00412176">
      <w:t>Instituce v roce 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A3"/>
    <w:rsid w:val="000849A3"/>
    <w:rsid w:val="00412176"/>
    <w:rsid w:val="00481B34"/>
    <w:rsid w:val="004976A8"/>
    <w:rsid w:val="00860352"/>
    <w:rsid w:val="009F4349"/>
    <w:rsid w:val="00EF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5C1E8"/>
  <w15:chartTrackingRefBased/>
  <w15:docId w15:val="{1A98FB69-7E9F-2D40-8FF2-E8F77275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10"/>
    <w:next w:val="Normln"/>
    <w:link w:val="Nadpis1Char"/>
    <w:uiPriority w:val="9"/>
    <w:qFormat/>
    <w:rsid w:val="00860352"/>
    <w:pPr>
      <w:jc w:val="center"/>
      <w:outlineLvl w:val="0"/>
    </w:pPr>
    <w:rPr>
      <w:color w:val="833C0B" w:themeColor="accent2" w:themeShade="80"/>
    </w:rPr>
  </w:style>
  <w:style w:type="paragraph" w:styleId="Nadpis2">
    <w:name w:val="heading 2"/>
    <w:basedOn w:val="nadpis20"/>
    <w:next w:val="Normln"/>
    <w:link w:val="Nadpis2Char"/>
    <w:uiPriority w:val="9"/>
    <w:unhideWhenUsed/>
    <w:qFormat/>
    <w:rsid w:val="00860352"/>
    <w:pPr>
      <w:outlineLvl w:val="1"/>
    </w:pPr>
    <w:rPr>
      <w:color w:val="833C0B" w:themeColor="accent2" w:themeShade="80"/>
    </w:rPr>
  </w:style>
  <w:style w:type="paragraph" w:styleId="Nadpis3">
    <w:name w:val="heading 3"/>
    <w:basedOn w:val="nadpis30"/>
    <w:next w:val="Normln"/>
    <w:link w:val="Nadpis3Char"/>
    <w:uiPriority w:val="9"/>
    <w:unhideWhenUsed/>
    <w:qFormat/>
    <w:rsid w:val="00860352"/>
    <w:pPr>
      <w:outlineLvl w:val="2"/>
    </w:pPr>
    <w:rPr>
      <w:color w:val="833C0B" w:themeColor="accent2" w:themeShade="8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603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03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603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603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6035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6035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40B6E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40B6E"/>
    <w:rPr>
      <w:rFonts w:ascii="Consolas" w:hAnsi="Consolas" w:cs="Consolas"/>
      <w:sz w:val="21"/>
      <w:szCs w:val="21"/>
    </w:rPr>
  </w:style>
  <w:style w:type="paragraph" w:customStyle="1" w:styleId="nadpis10">
    <w:name w:val="nadpis 1"/>
    <w:basedOn w:val="Prosttext"/>
    <w:next w:val="Normln"/>
    <w:qFormat/>
    <w:rsid w:val="00412176"/>
    <w:rPr>
      <w:rFonts w:ascii="Courier New" w:hAnsi="Courier New" w:cs="Courier New"/>
      <w:color w:val="833C0B" w:themeColor="accent2" w:themeShade="80"/>
      <w:sz w:val="56"/>
    </w:rPr>
  </w:style>
  <w:style w:type="paragraph" w:customStyle="1" w:styleId="nadpis20">
    <w:name w:val="nadpis 2"/>
    <w:basedOn w:val="Prosttext"/>
    <w:qFormat/>
    <w:rsid w:val="009F4349"/>
    <w:rPr>
      <w:rFonts w:ascii="Courier New" w:hAnsi="Courier New" w:cs="Courier New"/>
      <w:color w:val="833C0B" w:themeColor="accent2" w:themeShade="80"/>
      <w:sz w:val="32"/>
    </w:rPr>
  </w:style>
  <w:style w:type="paragraph" w:customStyle="1" w:styleId="nadpis30">
    <w:name w:val="nadpis 3"/>
    <w:basedOn w:val="Prosttext"/>
    <w:qFormat/>
    <w:rsid w:val="009F4349"/>
    <w:rPr>
      <w:rFonts w:ascii="Courier New" w:hAnsi="Courier New" w:cs="Courier New"/>
      <w:color w:val="833C0B" w:themeColor="accent2" w:themeShade="80"/>
      <w:sz w:val="28"/>
    </w:rPr>
  </w:style>
  <w:style w:type="paragraph" w:customStyle="1" w:styleId="koncepce">
    <w:name w:val="koncepce"/>
    <w:basedOn w:val="Prosttext"/>
    <w:qFormat/>
    <w:rsid w:val="009F4349"/>
    <w:pPr>
      <w:ind w:firstLine="170"/>
      <w:jc w:val="both"/>
    </w:pPr>
    <w:rPr>
      <w:rFonts w:ascii="Century Schoolbook" w:hAnsi="Century Schoolbook" w:cs="Courier New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121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2176"/>
  </w:style>
  <w:style w:type="paragraph" w:styleId="Zpat">
    <w:name w:val="footer"/>
    <w:basedOn w:val="Normln"/>
    <w:link w:val="ZpatChar"/>
    <w:uiPriority w:val="99"/>
    <w:unhideWhenUsed/>
    <w:rsid w:val="004121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2176"/>
  </w:style>
  <w:style w:type="character" w:styleId="slostrnky">
    <w:name w:val="page number"/>
    <w:basedOn w:val="Standardnpsmoodstavce"/>
    <w:uiPriority w:val="99"/>
    <w:semiHidden/>
    <w:unhideWhenUsed/>
    <w:rsid w:val="00412176"/>
  </w:style>
  <w:style w:type="paragraph" w:styleId="Obsah1">
    <w:name w:val="toc 1"/>
    <w:basedOn w:val="Normln"/>
    <w:next w:val="Normln"/>
    <w:autoRedefine/>
    <w:uiPriority w:val="39"/>
    <w:unhideWhenUsed/>
    <w:rsid w:val="00412176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12176"/>
    <w:pPr>
      <w:ind w:left="240"/>
    </w:pPr>
    <w:rPr>
      <w:rFonts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12176"/>
    <w:pPr>
      <w:ind w:left="480"/>
    </w:pPr>
    <w:rPr>
      <w:rFonts w:cs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12176"/>
    <w:pPr>
      <w:ind w:left="720"/>
    </w:pPr>
    <w:rPr>
      <w:rFonts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412176"/>
    <w:pPr>
      <w:ind w:left="960"/>
    </w:pPr>
    <w:rPr>
      <w:rFonts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412176"/>
    <w:pPr>
      <w:ind w:left="1200"/>
    </w:pPr>
    <w:rPr>
      <w:rFonts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412176"/>
    <w:pPr>
      <w:ind w:left="1440"/>
    </w:pPr>
    <w:rPr>
      <w:rFonts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412176"/>
    <w:pPr>
      <w:ind w:left="1680"/>
    </w:pPr>
    <w:rPr>
      <w:rFonts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412176"/>
    <w:pPr>
      <w:ind w:left="1920"/>
    </w:pPr>
    <w:rPr>
      <w:rFonts w:cstheme="minorHAns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860352"/>
    <w:rPr>
      <w:rFonts w:ascii="Courier New" w:hAnsi="Courier New" w:cs="Courier New"/>
      <w:color w:val="833C0B" w:themeColor="accent2" w:themeShade="80"/>
      <w:sz w:val="32"/>
      <w:szCs w:val="21"/>
    </w:rPr>
  </w:style>
  <w:style w:type="character" w:customStyle="1" w:styleId="Nadpis3Char">
    <w:name w:val="Nadpis 3 Char"/>
    <w:basedOn w:val="Standardnpsmoodstavce"/>
    <w:link w:val="Nadpis3"/>
    <w:uiPriority w:val="9"/>
    <w:rsid w:val="00860352"/>
    <w:rPr>
      <w:rFonts w:ascii="Courier New" w:hAnsi="Courier New" w:cs="Courier New"/>
      <w:color w:val="833C0B" w:themeColor="accent2" w:themeShade="80"/>
      <w:sz w:val="28"/>
      <w:szCs w:val="2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6035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860352"/>
    <w:rPr>
      <w:rFonts w:ascii="Courier New" w:hAnsi="Courier New" w:cs="Courier New"/>
      <w:color w:val="833C0B" w:themeColor="accent2" w:themeShade="80"/>
      <w:sz w:val="56"/>
      <w:szCs w:val="2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6035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6035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6035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6035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603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39"/>
    <w:unhideWhenUsed/>
    <w:qFormat/>
    <w:rsid w:val="00860352"/>
    <w:pPr>
      <w:spacing w:before="480" w:line="276" w:lineRule="auto"/>
      <w:outlineLvl w:val="9"/>
    </w:pPr>
    <w:rPr>
      <w:b/>
      <w:bCs/>
      <w:color w:val="833C0B" w:themeColor="accent2" w:themeShade="80"/>
      <w:sz w:val="28"/>
      <w:szCs w:val="28"/>
      <w:lang w:eastAsia="cs-CZ"/>
    </w:rPr>
  </w:style>
  <w:style w:type="paragraph" w:styleId="Bezmezer">
    <w:name w:val="No Spacing"/>
    <w:uiPriority w:val="1"/>
    <w:qFormat/>
    <w:rsid w:val="00860352"/>
  </w:style>
  <w:style w:type="character" w:styleId="Zdraznnjemn">
    <w:name w:val="Subtle Emphasis"/>
    <w:basedOn w:val="Standardnpsmoodstavce"/>
    <w:uiPriority w:val="19"/>
    <w:qFormat/>
    <w:rsid w:val="00860352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qFormat/>
    <w:rsid w:val="00860352"/>
    <w:rPr>
      <w:smallCaps/>
      <w:color w:val="5A5A5A" w:themeColor="text1" w:themeTint="A5"/>
    </w:rPr>
  </w:style>
  <w:style w:type="character" w:styleId="Hypertextovodkaz">
    <w:name w:val="Hyperlink"/>
    <w:basedOn w:val="Standardnpsmoodstavce"/>
    <w:uiPriority w:val="99"/>
    <w:unhideWhenUsed/>
    <w:rsid w:val="0086035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603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E0A459-6776-6F47-92AC-0D9422D48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1604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Remeš Matěj</dc:creator>
  <cp:keywords/>
  <dc:description/>
  <cp:lastModifiedBy>Remeš Matěj</cp:lastModifiedBy>
  <cp:revision>2</cp:revision>
  <dcterms:created xsi:type="dcterms:W3CDTF">2022-03-03T14:03:00Z</dcterms:created>
  <dcterms:modified xsi:type="dcterms:W3CDTF">2022-03-03T14:03:00Z</dcterms:modified>
</cp:coreProperties>
</file>